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40" w:rsidRDefault="00964FEF">
      <w:pPr>
        <w:pStyle w:val="1"/>
        <w:spacing w:before="74"/>
        <w:ind w:right="12" w:firstLine="0"/>
        <w:jc w:val="center"/>
      </w:pPr>
      <w:r>
        <w:t>Процедура</w:t>
      </w:r>
      <w:r>
        <w:rPr>
          <w:spacing w:val="-10"/>
        </w:rPr>
        <w:t xml:space="preserve"> </w:t>
      </w:r>
      <w:r>
        <w:t>розгляду</w:t>
      </w:r>
      <w:r>
        <w:rPr>
          <w:spacing w:val="-10"/>
        </w:rPr>
        <w:t xml:space="preserve"> </w:t>
      </w:r>
      <w:r>
        <w:t>звернень/скарг/претензій</w:t>
      </w:r>
      <w:r>
        <w:rPr>
          <w:spacing w:val="-10"/>
        </w:rPr>
        <w:t xml:space="preserve"> </w:t>
      </w:r>
      <w:r>
        <w:t>(далі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Процедура)</w:t>
      </w:r>
      <w:r>
        <w:rPr>
          <w:spacing w:val="-10"/>
        </w:rPr>
        <w:t xml:space="preserve"> </w:t>
      </w:r>
      <w:r>
        <w:t>визначає</w:t>
      </w:r>
      <w:r>
        <w:rPr>
          <w:spacing w:val="-10"/>
        </w:rPr>
        <w:t xml:space="preserve"> </w:t>
      </w:r>
      <w:r>
        <w:t>порядок роботи зі зверненнями/скаргами/претензіями споживачів до ТОВ «ДЖЕРЕЛО СТРУМУ</w:t>
      </w:r>
      <w:bookmarkStart w:id="0" w:name="_GoBack"/>
      <w:bookmarkEnd w:id="0"/>
      <w:r>
        <w:t>» (далі – Товариство) та можливі результати їх розгляду.</w:t>
      </w:r>
    </w:p>
    <w:p w:rsidR="000C0E40" w:rsidRDefault="000C0E40">
      <w:pPr>
        <w:pStyle w:val="a3"/>
        <w:ind w:left="0"/>
        <w:jc w:val="left"/>
        <w:rPr>
          <w:b/>
        </w:rPr>
      </w:pPr>
    </w:p>
    <w:p w:rsidR="000C0E40" w:rsidRDefault="000C0E40">
      <w:pPr>
        <w:pStyle w:val="a3"/>
        <w:ind w:left="0"/>
        <w:jc w:val="left"/>
        <w:rPr>
          <w:b/>
        </w:rPr>
      </w:pPr>
    </w:p>
    <w:p w:rsidR="000C0E40" w:rsidRDefault="00964FEF">
      <w:pPr>
        <w:pStyle w:val="a4"/>
        <w:numPr>
          <w:ilvl w:val="0"/>
          <w:numId w:val="2"/>
        </w:numPr>
        <w:tabs>
          <w:tab w:val="left" w:pos="4122"/>
        </w:tabs>
        <w:jc w:val="both"/>
        <w:rPr>
          <w:b/>
          <w:sz w:val="24"/>
        </w:rPr>
      </w:pPr>
      <w:r>
        <w:rPr>
          <w:b/>
          <w:sz w:val="24"/>
        </w:rPr>
        <w:t xml:space="preserve">Цілі </w:t>
      </w:r>
      <w:r>
        <w:rPr>
          <w:b/>
          <w:spacing w:val="-2"/>
          <w:sz w:val="24"/>
        </w:rPr>
        <w:t>документу</w:t>
      </w:r>
    </w:p>
    <w:p w:rsidR="000C0E40" w:rsidRDefault="00964FEF">
      <w:pPr>
        <w:pStyle w:val="a3"/>
        <w:spacing w:line="276" w:lineRule="auto"/>
        <w:ind w:right="19"/>
      </w:pPr>
      <w:r>
        <w:t>Процедура спрямована на досягнення наступних</w:t>
      </w:r>
      <w:r>
        <w:rPr>
          <w:spacing w:val="40"/>
        </w:rPr>
        <w:t xml:space="preserve"> </w:t>
      </w:r>
      <w:r>
        <w:t xml:space="preserve">цілей при роботі зі зверненнями/ </w:t>
      </w:r>
      <w:r>
        <w:rPr>
          <w:spacing w:val="-2"/>
        </w:rPr>
        <w:t>скаргами/претензіями: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ind w:left="241"/>
        <w:rPr>
          <w:sz w:val="24"/>
        </w:rPr>
      </w:pPr>
      <w:r>
        <w:rPr>
          <w:sz w:val="24"/>
        </w:rPr>
        <w:t>ознайомлення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8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-8"/>
          <w:sz w:val="24"/>
        </w:rPr>
        <w:t xml:space="preserve"> </w:t>
      </w:r>
      <w:r>
        <w:rPr>
          <w:sz w:val="24"/>
        </w:rPr>
        <w:t>звернень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Товариством;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391"/>
        </w:tabs>
        <w:spacing w:before="41" w:line="276" w:lineRule="auto"/>
        <w:ind w:right="16" w:firstLine="0"/>
        <w:rPr>
          <w:sz w:val="24"/>
        </w:rPr>
      </w:pPr>
      <w:r>
        <w:rPr>
          <w:sz w:val="24"/>
        </w:rPr>
        <w:t xml:space="preserve">ознайомлення споживачів з можливими результатами розгляду звернень/скарг/ </w:t>
      </w:r>
      <w:r>
        <w:rPr>
          <w:spacing w:val="-2"/>
          <w:sz w:val="24"/>
        </w:rPr>
        <w:t>претензій;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406"/>
        </w:tabs>
        <w:spacing w:line="276" w:lineRule="auto"/>
        <w:ind w:right="14" w:firstLine="0"/>
        <w:rPr>
          <w:sz w:val="24"/>
        </w:rPr>
      </w:pPr>
      <w:r>
        <w:rPr>
          <w:sz w:val="24"/>
        </w:rPr>
        <w:t>Вст</w:t>
      </w:r>
      <w:r>
        <w:rPr>
          <w:sz w:val="24"/>
        </w:rPr>
        <w:t>ановлення єдиних вимог до процесу обробки звернень/скарг/претензій з урахуванням вимог чинного законодавства України, зокрема Правил роздрібного ринку електричної енергії.</w:t>
      </w:r>
    </w:p>
    <w:p w:rsidR="000C0E40" w:rsidRDefault="000C0E40">
      <w:pPr>
        <w:pStyle w:val="a3"/>
        <w:spacing w:before="41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3812"/>
        </w:tabs>
        <w:ind w:left="3812"/>
        <w:jc w:val="left"/>
      </w:pPr>
      <w:r>
        <w:t>Визначення</w:t>
      </w:r>
      <w:r>
        <w:rPr>
          <w:spacing w:val="-10"/>
        </w:rPr>
        <w:t xml:space="preserve"> </w:t>
      </w:r>
      <w:r>
        <w:rPr>
          <w:spacing w:val="-2"/>
        </w:rPr>
        <w:t>термінів</w:t>
      </w:r>
    </w:p>
    <w:p w:rsidR="000C0E40" w:rsidRDefault="00964FEF">
      <w:pPr>
        <w:pStyle w:val="a3"/>
        <w:spacing w:line="276" w:lineRule="auto"/>
        <w:ind w:right="21"/>
      </w:pPr>
      <w:r>
        <w:rPr>
          <w:b/>
          <w:i/>
        </w:rPr>
        <w:t>звернення</w:t>
      </w:r>
      <w:r>
        <w:rPr>
          <w:b/>
          <w:i/>
          <w:spacing w:val="-4"/>
        </w:rPr>
        <w:t xml:space="preserve"> </w:t>
      </w:r>
      <w:r>
        <w:t>– запит споживача на отримання інформації та/або конс</w:t>
      </w:r>
      <w:r>
        <w:t>ультації щодо постачання електричної енергії та пов’язаних з постачанням електричної енергії послуг.</w:t>
      </w:r>
    </w:p>
    <w:p w:rsidR="000C0E40" w:rsidRDefault="00964FEF">
      <w:pPr>
        <w:pStyle w:val="a3"/>
        <w:spacing w:before="200" w:line="276" w:lineRule="auto"/>
        <w:ind w:right="18"/>
      </w:pPr>
      <w:r>
        <w:rPr>
          <w:b/>
          <w:i/>
        </w:rPr>
        <w:t>комерційна якість надання послуг з постачання електричної енергії</w:t>
      </w:r>
      <w:r>
        <w:rPr>
          <w:b/>
          <w:i/>
          <w:spacing w:val="-5"/>
        </w:rPr>
        <w:t xml:space="preserve"> </w:t>
      </w:r>
      <w:r>
        <w:t>– якість надання послуг ліцензіатом споживачеві, що передбачає дотримання ліцензіатом стр</w:t>
      </w:r>
      <w:r>
        <w:t>оків надання послуг та виконання робіт, розгляд звернень споживачів, установлених чинним законодавством, зокрема, Правилами роздрібного ринку електричної енергії, затвердженими постановою НКРЕКП від 14 березня 2018 року № 312.</w:t>
      </w:r>
    </w:p>
    <w:p w:rsidR="000C0E40" w:rsidRDefault="00964FEF">
      <w:pPr>
        <w:pStyle w:val="a3"/>
        <w:spacing w:before="200" w:line="276" w:lineRule="auto"/>
        <w:ind w:right="23"/>
      </w:pPr>
      <w:r>
        <w:rPr>
          <w:b/>
          <w:i/>
        </w:rPr>
        <w:t>ліцензіат</w:t>
      </w:r>
      <w:r>
        <w:rPr>
          <w:b/>
          <w:i/>
          <w:spacing w:val="-5"/>
        </w:rPr>
        <w:t xml:space="preserve"> </w:t>
      </w:r>
      <w:r>
        <w:t>– суб’єкт господарювання, що має ліцензію на провадження господарської діяльності з постачання електричної енергії споживачу, здійснює продаж електричної енергії за договором про постачання електричної енергії споживачу.</w:t>
      </w:r>
    </w:p>
    <w:p w:rsidR="000C0E40" w:rsidRDefault="00964FEF">
      <w:pPr>
        <w:pStyle w:val="a3"/>
        <w:spacing w:before="200" w:line="276" w:lineRule="auto"/>
        <w:ind w:right="13"/>
      </w:pPr>
      <w:r>
        <w:rPr>
          <w:b/>
          <w:i/>
        </w:rPr>
        <w:t>претензія</w:t>
      </w:r>
      <w:r>
        <w:rPr>
          <w:b/>
          <w:i/>
          <w:spacing w:val="-5"/>
        </w:rPr>
        <w:t xml:space="preserve"> </w:t>
      </w:r>
      <w:r>
        <w:t>– вимога споживача до суб</w:t>
      </w:r>
      <w:r>
        <w:t>’єкта роздрібного ринку електричної енергії про усунення порушень умов відповідного договору, у тому числі щодо якості послуг з постачання та про відшкодування збитків, завданих учасником роздрібного ринку електричної енергії внаслідок таких порушень.</w:t>
      </w:r>
    </w:p>
    <w:p w:rsidR="000C0E40" w:rsidRDefault="00964FEF">
      <w:pPr>
        <w:pStyle w:val="a3"/>
        <w:spacing w:before="200" w:line="276" w:lineRule="auto"/>
        <w:ind w:right="12"/>
      </w:pPr>
      <w:r>
        <w:rPr>
          <w:b/>
          <w:i/>
        </w:rPr>
        <w:t>скар</w:t>
      </w:r>
      <w:r>
        <w:rPr>
          <w:b/>
          <w:i/>
        </w:rPr>
        <w:t>га</w:t>
      </w:r>
      <w:r>
        <w:rPr>
          <w:b/>
          <w:i/>
          <w:spacing w:val="-5"/>
        </w:rPr>
        <w:t xml:space="preserve"> </w:t>
      </w:r>
      <w:r>
        <w:t>– виражене споживачем у письмовій, електронній або усній формі незадоволення щодо постачання електричної енергії та/або надання пов’язаних з постачанням електричної енергії послуг з вимогою поновлення його прав, порушених діями (бездіяльністю) відповідн</w:t>
      </w:r>
      <w:r>
        <w:t>ого учасника роздрібного ринку електричної енергії, а також захисту законних інтересів.</w:t>
      </w:r>
    </w:p>
    <w:p w:rsidR="000C0E40" w:rsidRDefault="00964FEF">
      <w:pPr>
        <w:pStyle w:val="1"/>
        <w:numPr>
          <w:ilvl w:val="0"/>
          <w:numId w:val="2"/>
        </w:numPr>
        <w:tabs>
          <w:tab w:val="left" w:pos="3792"/>
        </w:tabs>
        <w:spacing w:before="200"/>
        <w:ind w:left="3792"/>
        <w:jc w:val="both"/>
      </w:pPr>
      <w:r>
        <w:t>Загальні</w:t>
      </w:r>
      <w:r>
        <w:rPr>
          <w:spacing w:val="2"/>
        </w:rPr>
        <w:t xml:space="preserve"> </w:t>
      </w:r>
      <w:r>
        <w:rPr>
          <w:spacing w:val="-2"/>
        </w:rPr>
        <w:t>положення</w:t>
      </w:r>
    </w:p>
    <w:p w:rsidR="000C0E40" w:rsidRDefault="00964FEF">
      <w:pPr>
        <w:pStyle w:val="a3"/>
        <w:spacing w:line="276" w:lineRule="auto"/>
        <w:ind w:right="15"/>
      </w:pPr>
      <w:r>
        <w:t>Процедура – це комплекс обов’язкових для виконання правил та заходів, спрямованих на забезпечення ефективної та прозорої роботи</w:t>
      </w:r>
      <w:r>
        <w:rPr>
          <w:spacing w:val="40"/>
        </w:rPr>
        <w:t xml:space="preserve"> </w:t>
      </w:r>
      <w:r>
        <w:t>Товариства зі зверненнями споживачів. Наказом директора Товариства призначається особа, відповідальна за здійснення функцій центру обслуговування споживачів.</w:t>
      </w:r>
    </w:p>
    <w:p w:rsidR="000C0E40" w:rsidRDefault="00964FEF">
      <w:pPr>
        <w:pStyle w:val="a3"/>
        <w:spacing w:line="276" w:lineRule="auto"/>
        <w:ind w:right="1866"/>
      </w:pPr>
      <w:r>
        <w:t>В</w:t>
      </w:r>
      <w:r>
        <w:rPr>
          <w:spacing w:val="-10"/>
        </w:rPr>
        <w:t xml:space="preserve"> </w:t>
      </w:r>
      <w:r>
        <w:t>роботі</w:t>
      </w:r>
      <w:r>
        <w:rPr>
          <w:spacing w:val="-10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зверненнями</w:t>
      </w:r>
      <w:r>
        <w:rPr>
          <w:spacing w:val="-10"/>
        </w:rPr>
        <w:t xml:space="preserve"> </w:t>
      </w:r>
      <w:r>
        <w:t>Товариство</w:t>
      </w:r>
      <w:r>
        <w:rPr>
          <w:spacing w:val="-10"/>
        </w:rPr>
        <w:t xml:space="preserve"> </w:t>
      </w:r>
      <w:r>
        <w:t>керується</w:t>
      </w:r>
      <w:r>
        <w:rPr>
          <w:spacing w:val="-10"/>
        </w:rPr>
        <w:t xml:space="preserve"> </w:t>
      </w:r>
      <w:r>
        <w:t>зокрема,</w:t>
      </w:r>
      <w:r>
        <w:rPr>
          <w:spacing w:val="-10"/>
        </w:rPr>
        <w:t xml:space="preserve"> </w:t>
      </w:r>
      <w:r>
        <w:t>але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 xml:space="preserve">виключно: Законом України «Про ринок </w:t>
      </w:r>
      <w:r>
        <w:t>електричної енергії»;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ind w:left="241"/>
        <w:rPr>
          <w:sz w:val="24"/>
        </w:rPr>
      </w:pPr>
      <w:r>
        <w:rPr>
          <w:sz w:val="24"/>
        </w:rPr>
        <w:t>Законом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0"/>
          <w:sz w:val="24"/>
        </w:rPr>
        <w:t xml:space="preserve"> </w:t>
      </w:r>
      <w:r>
        <w:rPr>
          <w:sz w:val="24"/>
        </w:rPr>
        <w:t>«Про</w:t>
      </w:r>
      <w:r>
        <w:rPr>
          <w:spacing w:val="-1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громадян»;</w:t>
      </w:r>
    </w:p>
    <w:p w:rsidR="000C0E40" w:rsidRDefault="000C0E40">
      <w:pPr>
        <w:pStyle w:val="a4"/>
        <w:rPr>
          <w:sz w:val="24"/>
        </w:rPr>
        <w:sectPr w:rsidR="000C0E40">
          <w:type w:val="continuous"/>
          <w:pgSz w:w="11920" w:h="16840"/>
          <w:pgMar w:top="1060" w:right="850" w:bottom="280" w:left="1700" w:header="708" w:footer="708" w:gutter="0"/>
          <w:cols w:space="720"/>
        </w:sectPr>
      </w:pP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spacing w:before="74"/>
        <w:ind w:left="241"/>
        <w:rPr>
          <w:sz w:val="24"/>
        </w:rPr>
      </w:pPr>
      <w:r>
        <w:rPr>
          <w:sz w:val="24"/>
        </w:rPr>
        <w:lastRenderedPageBreak/>
        <w:t>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3"/>
          <w:sz w:val="24"/>
        </w:rPr>
        <w:t xml:space="preserve"> </w:t>
      </w:r>
      <w:r>
        <w:rPr>
          <w:sz w:val="24"/>
        </w:rPr>
        <w:t>«Про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інформацію»;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spacing w:before="41"/>
        <w:ind w:left="241"/>
        <w:rPr>
          <w:sz w:val="24"/>
        </w:rPr>
      </w:pPr>
      <w:r>
        <w:rPr>
          <w:sz w:val="24"/>
        </w:rPr>
        <w:t>Законом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8"/>
          <w:sz w:val="24"/>
        </w:rPr>
        <w:t xml:space="preserve"> </w:t>
      </w:r>
      <w:r>
        <w:rPr>
          <w:sz w:val="24"/>
        </w:rPr>
        <w:t>«Про</w:t>
      </w:r>
      <w:r>
        <w:rPr>
          <w:spacing w:val="-8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споживачів»;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86"/>
        </w:tabs>
        <w:spacing w:before="41" w:line="276" w:lineRule="auto"/>
        <w:ind w:right="19" w:firstLine="0"/>
        <w:rPr>
          <w:sz w:val="24"/>
        </w:rPr>
      </w:pPr>
      <w:r>
        <w:rPr>
          <w:sz w:val="24"/>
        </w:rPr>
        <w:t>Кодексом систем розподілу, затвердженим постановою НКРЕКП від 14 березня 2018 року № 310;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56"/>
        </w:tabs>
        <w:spacing w:line="276" w:lineRule="auto"/>
        <w:ind w:right="25" w:firstLine="0"/>
        <w:rPr>
          <w:sz w:val="24"/>
        </w:rPr>
      </w:pP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комерційного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4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-14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-14"/>
          <w:sz w:val="24"/>
        </w:rPr>
        <w:t xml:space="preserve"> </w:t>
      </w:r>
      <w:r>
        <w:rPr>
          <w:sz w:val="24"/>
        </w:rPr>
        <w:t>НКРЕКП від 14 березня 2018 року № 311;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391"/>
        </w:tabs>
        <w:spacing w:line="276" w:lineRule="auto"/>
        <w:ind w:right="21" w:firstLine="0"/>
        <w:rPr>
          <w:sz w:val="24"/>
        </w:rPr>
      </w:pPr>
      <w:r>
        <w:rPr>
          <w:sz w:val="24"/>
        </w:rPr>
        <w:t>Правилами роздрібного ринку електричної енергії, затвердженими постановою НКРЕКП від 14 березня 2018 року № 312;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301"/>
        </w:tabs>
        <w:spacing w:line="276" w:lineRule="auto"/>
        <w:ind w:right="15" w:firstLine="0"/>
        <w:rPr>
          <w:sz w:val="24"/>
        </w:rPr>
      </w:pPr>
      <w:r>
        <w:rPr>
          <w:sz w:val="24"/>
        </w:rPr>
        <w:t>Порядком забезпечення стандартів якост</w:t>
      </w:r>
      <w:r>
        <w:rPr>
          <w:sz w:val="24"/>
        </w:rPr>
        <w:t>і електропостачання та надання компенсації споживачам за їх недотримання, затвердженим постановою НКРЕКП від 12 червня 2018 року № 375.</w:t>
      </w:r>
    </w:p>
    <w:p w:rsidR="000C0E40" w:rsidRDefault="00964FEF">
      <w:pPr>
        <w:pStyle w:val="a3"/>
        <w:spacing w:line="276" w:lineRule="auto"/>
        <w:ind w:right="19"/>
      </w:pPr>
      <w:r>
        <w:t>Споживач у разі порушення його прав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законних</w:t>
      </w:r>
      <w:r>
        <w:rPr>
          <w:spacing w:val="-7"/>
        </w:rPr>
        <w:t xml:space="preserve"> </w:t>
      </w:r>
      <w:r>
        <w:t>інтересів</w:t>
      </w:r>
      <w:r>
        <w:rPr>
          <w:spacing w:val="-7"/>
        </w:rPr>
        <w:t xml:space="preserve"> </w:t>
      </w:r>
      <w:r>
        <w:t>першочергово</w:t>
      </w:r>
      <w:r>
        <w:rPr>
          <w:spacing w:val="-7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звернутись до Товариства зі зверненням/скаргою/претензією щодо усунення таким учасником порушення та відновлення прав та законних інтересів споживача.</w:t>
      </w:r>
    </w:p>
    <w:p w:rsidR="000C0E40" w:rsidRDefault="00964FEF">
      <w:pPr>
        <w:pStyle w:val="a3"/>
      </w:pPr>
      <w:r>
        <w:t>Форма</w:t>
      </w:r>
      <w:r>
        <w:rPr>
          <w:spacing w:val="-7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звернення/скарги/претензії</w:t>
      </w:r>
      <w:r>
        <w:rPr>
          <w:spacing w:val="-5"/>
        </w:rPr>
        <w:t xml:space="preserve"> </w:t>
      </w:r>
      <w:r>
        <w:t>наведена</w:t>
      </w:r>
      <w:r>
        <w:rPr>
          <w:spacing w:val="-5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Процедури.</w:t>
      </w:r>
    </w:p>
    <w:p w:rsidR="000C0E40" w:rsidRDefault="00964FEF">
      <w:pPr>
        <w:pStyle w:val="a3"/>
        <w:spacing w:before="42" w:line="276" w:lineRule="auto"/>
        <w:ind w:right="19"/>
      </w:pPr>
      <w:r>
        <w:t>До звернення/скарги/претензії</w:t>
      </w:r>
      <w:r>
        <w:t xml:space="preserve"> споживач має додати наявні оригінали рішень або копії рішень, які приймалися за його зверненням/скаргою/претензією раніше, а також за наявності інші документи, необхідні для розгляду звернення/скарги/претензії, які після його (її) розгляду повертаються сп</w:t>
      </w:r>
      <w:r>
        <w:t>оживачу.</w:t>
      </w:r>
    </w:p>
    <w:p w:rsidR="000C0E40" w:rsidRDefault="00964FEF">
      <w:pPr>
        <w:pStyle w:val="a3"/>
        <w:spacing w:line="276" w:lineRule="auto"/>
        <w:ind w:right="12"/>
      </w:pPr>
      <w:r>
        <w:t>Якщо звернення не містить даних, необхідних для прийняття обґрунтованого рішення, учасник роздрібного ринку може у строк не більше 3 робочих днів звернутися до споживача за додатковою інформацією, яка необхідна йому для повного та об’єктивного роз</w:t>
      </w:r>
      <w:r>
        <w:t>гляду звернення/скарги/претензії.</w:t>
      </w:r>
    </w:p>
    <w:p w:rsidR="000C0E40" w:rsidRDefault="00964FEF">
      <w:pPr>
        <w:pStyle w:val="a3"/>
        <w:spacing w:line="276" w:lineRule="auto"/>
        <w:ind w:right="12"/>
      </w:pPr>
      <w:r>
        <w:t>У разі ненадання споживачем необхідної інформації (документів), пояснень щодо обставин, зазначених у зверненні/скарзі/претензії, учасник роздрібного ринку має надати споживачу роз’яснення (відповідь) виходячи з наявної у н</w:t>
      </w:r>
      <w:r>
        <w:t>ього інформації. Ненадання споживачем додаткової інформації не є підставою для відмови учасником роздрібного ринку у розгляді звернення/скарги/претензії споживача.</w:t>
      </w:r>
    </w:p>
    <w:p w:rsidR="000C0E40" w:rsidRDefault="000C0E40">
      <w:pPr>
        <w:pStyle w:val="a3"/>
        <w:spacing w:before="41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1961"/>
        </w:tabs>
        <w:ind w:left="1961"/>
        <w:jc w:val="left"/>
      </w:pPr>
      <w:r>
        <w:t>Загальні</w:t>
      </w:r>
      <w:r>
        <w:rPr>
          <w:spacing w:val="-2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зверненнями</w:t>
      </w:r>
      <w:r>
        <w:rPr>
          <w:spacing w:val="-1"/>
        </w:rPr>
        <w:t xml:space="preserve"> </w:t>
      </w:r>
      <w:r>
        <w:rPr>
          <w:spacing w:val="-2"/>
        </w:rPr>
        <w:t>споживачів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spacing w:line="276" w:lineRule="auto"/>
        <w:ind w:right="576" w:firstLine="0"/>
        <w:jc w:val="left"/>
        <w:rPr>
          <w:sz w:val="24"/>
        </w:rPr>
      </w:pPr>
      <w:r>
        <w:rPr>
          <w:sz w:val="24"/>
        </w:rPr>
        <w:t>Фіксація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реєстрація</w:t>
      </w:r>
      <w:r>
        <w:rPr>
          <w:spacing w:val="-7"/>
          <w:sz w:val="24"/>
        </w:rPr>
        <w:t xml:space="preserve"> </w:t>
      </w:r>
      <w:r>
        <w:rPr>
          <w:sz w:val="24"/>
        </w:rPr>
        <w:t>всіх</w:t>
      </w:r>
      <w:r>
        <w:rPr>
          <w:spacing w:val="-7"/>
          <w:sz w:val="24"/>
        </w:rPr>
        <w:t xml:space="preserve"> </w:t>
      </w:r>
      <w:r>
        <w:rPr>
          <w:sz w:val="24"/>
        </w:rPr>
        <w:t>звернень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урналі</w:t>
      </w:r>
      <w:r>
        <w:rPr>
          <w:spacing w:val="-7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звернень/претензій/скарг </w:t>
      </w:r>
      <w:r>
        <w:rPr>
          <w:spacing w:val="-2"/>
          <w:sz w:val="24"/>
        </w:rPr>
        <w:t>споживачів;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ind w:left="241"/>
        <w:jc w:val="left"/>
        <w:rPr>
          <w:sz w:val="24"/>
        </w:rPr>
      </w:pPr>
      <w:r>
        <w:rPr>
          <w:sz w:val="24"/>
        </w:rPr>
        <w:t>Оперативність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терміни;</w:t>
      </w:r>
    </w:p>
    <w:p w:rsidR="000C0E40" w:rsidRDefault="00964FEF">
      <w:pPr>
        <w:pStyle w:val="a4"/>
        <w:numPr>
          <w:ilvl w:val="0"/>
          <w:numId w:val="1"/>
        </w:numPr>
        <w:tabs>
          <w:tab w:val="left" w:pos="241"/>
        </w:tabs>
        <w:spacing w:before="42" w:line="276" w:lineRule="auto"/>
        <w:ind w:right="252" w:firstLine="0"/>
        <w:jc w:val="left"/>
        <w:rPr>
          <w:sz w:val="24"/>
        </w:rPr>
      </w:pPr>
      <w:r>
        <w:rPr>
          <w:sz w:val="24"/>
        </w:rPr>
        <w:t>Якість та об’єктивність – відповідь повинна бути вичерпною, достовірною, не допускати</w:t>
      </w:r>
      <w:r>
        <w:rPr>
          <w:spacing w:val="-9"/>
          <w:sz w:val="24"/>
        </w:rPr>
        <w:t xml:space="preserve"> </w:t>
      </w:r>
      <w:r>
        <w:rPr>
          <w:sz w:val="24"/>
        </w:rPr>
        <w:t>подвійного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тлумачення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містити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собі</w:t>
      </w:r>
      <w:r>
        <w:rPr>
          <w:spacing w:val="-9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9"/>
          <w:sz w:val="24"/>
        </w:rPr>
        <w:t xml:space="preserve"> </w:t>
      </w:r>
      <w:r>
        <w:rPr>
          <w:sz w:val="24"/>
        </w:rPr>
        <w:t>дійсності та не суперечить вимогам чинного законодавства.</w:t>
      </w:r>
    </w:p>
    <w:p w:rsidR="000C0E40" w:rsidRDefault="000C0E40">
      <w:pPr>
        <w:pStyle w:val="a3"/>
        <w:spacing w:before="41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735"/>
          <w:tab w:val="left" w:pos="3028"/>
        </w:tabs>
        <w:ind w:left="3028" w:right="266" w:hanging="2533"/>
        <w:jc w:val="both"/>
      </w:pPr>
      <w:r>
        <w:t>Розгляд</w:t>
      </w:r>
      <w:r>
        <w:rPr>
          <w:spacing w:val="-12"/>
        </w:rPr>
        <w:t xml:space="preserve"> </w:t>
      </w:r>
      <w:r>
        <w:t>звернень/скарг/претензій</w:t>
      </w:r>
      <w:r>
        <w:rPr>
          <w:spacing w:val="-12"/>
        </w:rPr>
        <w:t xml:space="preserve"> </w:t>
      </w:r>
      <w:r>
        <w:t>споживачів</w:t>
      </w:r>
      <w:r>
        <w:rPr>
          <w:spacing w:val="-12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якості</w:t>
      </w:r>
      <w:r>
        <w:rPr>
          <w:spacing w:val="-12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послуг</w:t>
      </w:r>
      <w:r>
        <w:rPr>
          <w:spacing w:val="-12"/>
        </w:rPr>
        <w:t xml:space="preserve"> </w:t>
      </w:r>
      <w:r>
        <w:t>та скарг на персонал Товариства</w:t>
      </w:r>
    </w:p>
    <w:p w:rsidR="000C0E40" w:rsidRDefault="00964FEF">
      <w:pPr>
        <w:pStyle w:val="a3"/>
        <w:spacing w:line="276" w:lineRule="auto"/>
        <w:ind w:right="15"/>
      </w:pPr>
      <w:r>
        <w:t>У разі надходження скарги/звернення/претензії споживача</w:t>
      </w:r>
      <w:r>
        <w:rPr>
          <w:spacing w:val="-9"/>
        </w:rPr>
        <w:t xml:space="preserve"> </w:t>
      </w:r>
      <w:r>
        <w:t>стосовно</w:t>
      </w:r>
      <w:r>
        <w:rPr>
          <w:spacing w:val="-9"/>
        </w:rPr>
        <w:t xml:space="preserve"> </w:t>
      </w:r>
      <w:r>
        <w:t>як</w:t>
      </w:r>
      <w:r>
        <w:t>ості</w:t>
      </w:r>
      <w:r>
        <w:rPr>
          <w:spacing w:val="-9"/>
        </w:rPr>
        <w:t xml:space="preserve"> </w:t>
      </w:r>
      <w:r>
        <w:t>надання</w:t>
      </w:r>
      <w:r>
        <w:rPr>
          <w:spacing w:val="-9"/>
        </w:rPr>
        <w:t xml:space="preserve"> </w:t>
      </w:r>
      <w:r>
        <w:t xml:space="preserve">послуг та скарг на персонал, Товариство розглядає її протягом 30 днів з дня отримання </w:t>
      </w:r>
      <w:r>
        <w:rPr>
          <w:spacing w:val="-2"/>
        </w:rPr>
        <w:t>скарги/звернення/претензії.</w:t>
      </w:r>
    </w:p>
    <w:p w:rsidR="000C0E40" w:rsidRDefault="00964FEF">
      <w:pPr>
        <w:pStyle w:val="a3"/>
        <w:spacing w:line="276" w:lineRule="auto"/>
        <w:ind w:right="13"/>
      </w:pPr>
      <w:r>
        <w:t>Під час розгляду скарги/звернення/претензії на персонал Товариства проводиться з’ясування обставин та</w:t>
      </w:r>
      <w:r>
        <w:rPr>
          <w:spacing w:val="-5"/>
        </w:rPr>
        <w:t xml:space="preserve"> </w:t>
      </w:r>
      <w:r>
        <w:t>аналіз</w:t>
      </w:r>
      <w:r>
        <w:rPr>
          <w:spacing w:val="-5"/>
        </w:rPr>
        <w:t xml:space="preserve"> </w:t>
      </w:r>
      <w:r>
        <w:t>фактів,</w:t>
      </w:r>
      <w:r>
        <w:rPr>
          <w:spacing w:val="-5"/>
        </w:rPr>
        <w:t xml:space="preserve"> </w:t>
      </w:r>
      <w:r>
        <w:t>викладених</w:t>
      </w:r>
      <w:r>
        <w:rPr>
          <w:spacing w:val="-5"/>
        </w:rPr>
        <w:t xml:space="preserve"> </w:t>
      </w:r>
      <w:r>
        <w:t>с</w:t>
      </w:r>
      <w:r>
        <w:t>поживачем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зверненні,</w:t>
      </w:r>
      <w:r>
        <w:rPr>
          <w:spacing w:val="-5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призвели</w:t>
      </w:r>
      <w:r>
        <w:rPr>
          <w:spacing w:val="-5"/>
        </w:rPr>
        <w:t xml:space="preserve"> </w:t>
      </w:r>
      <w:r>
        <w:t>до порушення якості обслуговування споживачів.</w:t>
      </w:r>
    </w:p>
    <w:p w:rsidR="000C0E40" w:rsidRDefault="00964FEF">
      <w:pPr>
        <w:pStyle w:val="a3"/>
      </w:pPr>
      <w:r>
        <w:t>За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-12"/>
        </w:rPr>
        <w:t xml:space="preserve"> </w:t>
      </w:r>
      <w:r>
        <w:t>розгляду</w:t>
      </w:r>
      <w:r>
        <w:rPr>
          <w:spacing w:val="-12"/>
        </w:rPr>
        <w:t xml:space="preserve"> </w:t>
      </w:r>
      <w:r>
        <w:t>споживачу</w:t>
      </w:r>
      <w:r>
        <w:rPr>
          <w:spacing w:val="-12"/>
        </w:rPr>
        <w:t xml:space="preserve"> </w:t>
      </w:r>
      <w:r>
        <w:t>надається</w:t>
      </w:r>
      <w:r>
        <w:rPr>
          <w:spacing w:val="-12"/>
        </w:rPr>
        <w:t xml:space="preserve"> </w:t>
      </w:r>
      <w:r>
        <w:rPr>
          <w:spacing w:val="-2"/>
        </w:rPr>
        <w:t>відповідь.</w:t>
      </w:r>
    </w:p>
    <w:p w:rsidR="000C0E40" w:rsidRDefault="000C0E40">
      <w:pPr>
        <w:pStyle w:val="a3"/>
        <w:sectPr w:rsidR="000C0E40">
          <w:pgSz w:w="11920" w:h="16840"/>
          <w:pgMar w:top="1060" w:right="850" w:bottom="280" w:left="1700" w:header="708" w:footer="708" w:gutter="0"/>
          <w:cols w:space="720"/>
        </w:sectPr>
      </w:pPr>
    </w:p>
    <w:p w:rsidR="000C0E40" w:rsidRDefault="00964FEF">
      <w:pPr>
        <w:pStyle w:val="a3"/>
        <w:spacing w:before="74" w:line="276" w:lineRule="auto"/>
        <w:ind w:right="17"/>
      </w:pPr>
      <w:r>
        <w:lastRenderedPageBreak/>
        <w:t>У разі підтвердження неналежних дій персоналу Товариства, споживачу надається відповідь із зазначенням вжитих</w:t>
      </w:r>
      <w:r>
        <w:rPr>
          <w:spacing w:val="-11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врегулювання</w:t>
      </w:r>
      <w:r>
        <w:rPr>
          <w:spacing w:val="-11"/>
        </w:rPr>
        <w:t xml:space="preserve"> </w:t>
      </w:r>
      <w:r>
        <w:t>зазначеного</w:t>
      </w:r>
      <w:r>
        <w:rPr>
          <w:spacing w:val="-11"/>
        </w:rPr>
        <w:t xml:space="preserve"> </w:t>
      </w:r>
      <w:r>
        <w:t>питання,</w:t>
      </w:r>
      <w:r>
        <w:rPr>
          <w:spacing w:val="-11"/>
        </w:rPr>
        <w:t xml:space="preserve"> </w:t>
      </w:r>
      <w:r>
        <w:t>зокрема заходів дисциплінарного впливу на персонал , яким допущено порушення нормативних документів</w:t>
      </w:r>
      <w:r>
        <w:t xml:space="preserve"> та надаються офіційні вибачення споживачу.</w:t>
      </w:r>
    </w:p>
    <w:p w:rsidR="000C0E40" w:rsidRDefault="000C0E40">
      <w:pPr>
        <w:pStyle w:val="a3"/>
        <w:spacing w:before="41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1203"/>
        </w:tabs>
        <w:ind w:left="1203"/>
        <w:jc w:val="both"/>
      </w:pPr>
      <w:r>
        <w:t>Розгляд</w:t>
      </w:r>
      <w:r>
        <w:rPr>
          <w:spacing w:val="-7"/>
        </w:rPr>
        <w:t xml:space="preserve"> </w:t>
      </w:r>
      <w:r>
        <w:t>звернень/скарг/претензій</w:t>
      </w:r>
      <w:r>
        <w:rPr>
          <w:spacing w:val="-6"/>
        </w:rPr>
        <w:t xml:space="preserve"> </w:t>
      </w:r>
      <w:r>
        <w:t>споживачів,</w:t>
      </w:r>
      <w:r>
        <w:rPr>
          <w:spacing w:val="-7"/>
        </w:rPr>
        <w:t xml:space="preserve"> </w:t>
      </w:r>
      <w:r>
        <w:t>якщо</w:t>
      </w:r>
      <w:r>
        <w:rPr>
          <w:spacing w:val="-6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rPr>
          <w:spacing w:val="-2"/>
        </w:rPr>
        <w:t>розгляду</w:t>
      </w:r>
    </w:p>
    <w:p w:rsidR="000C0E40" w:rsidRDefault="00964FEF">
      <w:pPr>
        <w:ind w:left="2572" w:right="302" w:hanging="2283"/>
        <w:jc w:val="both"/>
        <w:rPr>
          <w:b/>
          <w:sz w:val="24"/>
        </w:rPr>
      </w:pPr>
      <w:r>
        <w:rPr>
          <w:b/>
          <w:sz w:val="24"/>
        </w:rPr>
        <w:t>звернення/скарги/претензії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необхідно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здійснити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технічну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перевірку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або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провести експертизу засобу комерційного обліку</w:t>
      </w:r>
    </w:p>
    <w:p w:rsidR="000C0E40" w:rsidRDefault="00964FEF">
      <w:pPr>
        <w:pStyle w:val="a3"/>
        <w:spacing w:line="276" w:lineRule="auto"/>
        <w:ind w:right="16"/>
      </w:pPr>
      <w:r>
        <w:t>Скарга/звернення/претензія споживача розглядається Товариством протягом 30 днів з дня її отримання. Якщо під час розгляду звернення/скарги/претензії необхідно здійснити технічну перевірку або провести експертизу засобу комерційного обліку, строк розгляду з</w:t>
      </w:r>
      <w:r>
        <w:t>вернення/скарги/претензії призупиняється на час проведення технічної перевірки або експертизи, про що повідомляється споживачу, який подав звернення/скаргу/претензію.</w:t>
      </w:r>
    </w:p>
    <w:p w:rsidR="000C0E40" w:rsidRDefault="00964FEF">
      <w:pPr>
        <w:pStyle w:val="a3"/>
        <w:spacing w:line="276" w:lineRule="auto"/>
        <w:ind w:right="14"/>
      </w:pPr>
      <w:r>
        <w:t>Відлік перебігу строку розгляду у цьому разі поновлюється з дати отримання результатів те</w:t>
      </w:r>
      <w:r>
        <w:t>хнічної перевірки або експертизи, про що повідомляється споживачу, який подав звернення/скаргу/претензію. При цьому загальний строк розгляду зазначеного звернення/скарги/претензії не може перевищувати 45 днів.</w:t>
      </w:r>
    </w:p>
    <w:p w:rsidR="000C0E40" w:rsidRDefault="000C0E40">
      <w:pPr>
        <w:pStyle w:val="a3"/>
        <w:spacing w:before="41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517"/>
          <w:tab w:val="left" w:pos="3590"/>
        </w:tabs>
        <w:ind w:left="3590" w:right="289" w:hanging="3313"/>
        <w:jc w:val="left"/>
      </w:pPr>
      <w:r>
        <w:t>Розгляд</w:t>
      </w:r>
      <w:r>
        <w:rPr>
          <w:spacing w:val="-14"/>
        </w:rPr>
        <w:t xml:space="preserve"> </w:t>
      </w:r>
      <w:r>
        <w:t>звернень/скарг/претензій</w:t>
      </w:r>
      <w:r>
        <w:rPr>
          <w:spacing w:val="-14"/>
        </w:rPr>
        <w:t xml:space="preserve"> </w:t>
      </w:r>
      <w:r>
        <w:t>стосовно</w:t>
      </w:r>
      <w:r>
        <w:rPr>
          <w:spacing w:val="-14"/>
        </w:rPr>
        <w:t xml:space="preserve"> </w:t>
      </w:r>
      <w:r>
        <w:t>пер</w:t>
      </w:r>
      <w:r>
        <w:t>евірки</w:t>
      </w:r>
      <w:r>
        <w:rPr>
          <w:spacing w:val="-14"/>
        </w:rPr>
        <w:t xml:space="preserve"> </w:t>
      </w:r>
      <w:r>
        <w:t>правильності</w:t>
      </w:r>
      <w:r>
        <w:rPr>
          <w:spacing w:val="-14"/>
        </w:rPr>
        <w:t xml:space="preserve"> </w:t>
      </w:r>
      <w:r>
        <w:t>рахунку</w:t>
      </w:r>
      <w:r>
        <w:rPr>
          <w:spacing w:val="-14"/>
        </w:rPr>
        <w:t xml:space="preserve"> </w:t>
      </w:r>
      <w:r>
        <w:t>за електричну енергію</w:t>
      </w:r>
    </w:p>
    <w:p w:rsidR="000C0E40" w:rsidRDefault="00964FEF">
      <w:pPr>
        <w:pStyle w:val="a3"/>
        <w:spacing w:line="276" w:lineRule="auto"/>
        <w:ind w:right="20"/>
      </w:pPr>
      <w:r>
        <w:t>Товариство розглядає звернення споживачів щодо перевірки правильності рахунку за електричну енергію у строк до 5 робочих днів з дня отримання ними такого звернення.</w:t>
      </w:r>
    </w:p>
    <w:p w:rsidR="000C0E40" w:rsidRDefault="000C0E40">
      <w:pPr>
        <w:pStyle w:val="a3"/>
        <w:spacing w:before="42"/>
        <w:ind w:left="0"/>
        <w:jc w:val="left"/>
      </w:pPr>
    </w:p>
    <w:p w:rsidR="000C0E40" w:rsidRDefault="00964FEF">
      <w:pPr>
        <w:pStyle w:val="1"/>
        <w:numPr>
          <w:ilvl w:val="0"/>
          <w:numId w:val="2"/>
        </w:numPr>
        <w:tabs>
          <w:tab w:val="left" w:pos="1675"/>
        </w:tabs>
        <w:ind w:left="1675"/>
        <w:jc w:val="both"/>
      </w:pPr>
      <w:r>
        <w:t>Загальні</w:t>
      </w:r>
      <w:r>
        <w:rPr>
          <w:spacing w:val="-6"/>
        </w:rPr>
        <w:t xml:space="preserve"> </w:t>
      </w:r>
      <w:r>
        <w:t>вимоги</w:t>
      </w:r>
      <w:r>
        <w:rPr>
          <w:spacing w:val="-5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rPr>
          <w:spacing w:val="-2"/>
        </w:rPr>
        <w:t>звернень/с</w:t>
      </w:r>
      <w:r>
        <w:rPr>
          <w:spacing w:val="-2"/>
        </w:rPr>
        <w:t>карг/претензій</w:t>
      </w:r>
    </w:p>
    <w:p w:rsidR="000C0E40" w:rsidRDefault="00964FEF">
      <w:pPr>
        <w:pStyle w:val="a3"/>
        <w:spacing w:line="276" w:lineRule="auto"/>
        <w:ind w:right="15"/>
      </w:pPr>
      <w:r>
        <w:t>Відповідно до статті 5 Закону України «Про звернення громадян» (далі – Закон) у зверненні має бути зазначено прізвище, ім’я, по батькові, місце проживання споживача, викладено суть порушеного питання, зауваження, пропозиції, заяви чи скарги,</w:t>
      </w:r>
      <w:r>
        <w:t xml:space="preserve"> прохання чи вимоги. Письмове звернення повинно бути підписано споживачем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t>зазначенням</w:t>
      </w:r>
      <w:r>
        <w:rPr>
          <w:spacing w:val="-7"/>
        </w:rPr>
        <w:t xml:space="preserve"> </w:t>
      </w:r>
      <w:r>
        <w:t>дати. В електронному зверненні також має бути зазначено електронну поштову адресу, на яку споживачу може бути надіслано відповідь, або відомості про інші засоби зв’язку з ним. Застосування електронного цифрового підпису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надсиланні</w:t>
      </w:r>
      <w:r>
        <w:rPr>
          <w:spacing w:val="-7"/>
        </w:rPr>
        <w:t xml:space="preserve"> </w:t>
      </w:r>
      <w:r>
        <w:t>електронного</w:t>
      </w:r>
      <w:r>
        <w:rPr>
          <w:spacing w:val="-7"/>
        </w:rPr>
        <w:t xml:space="preserve"> </w:t>
      </w:r>
      <w:r>
        <w:t>зверненн</w:t>
      </w:r>
      <w:r>
        <w:t>я</w:t>
      </w:r>
      <w:r>
        <w:rPr>
          <w:spacing w:val="-7"/>
        </w:rPr>
        <w:t xml:space="preserve"> </w:t>
      </w:r>
      <w:r>
        <w:t xml:space="preserve">не </w:t>
      </w:r>
      <w:r>
        <w:rPr>
          <w:spacing w:val="-2"/>
        </w:rPr>
        <w:t>вимагається.</w:t>
      </w:r>
    </w:p>
    <w:p w:rsidR="000C0E40" w:rsidRDefault="00964FEF">
      <w:pPr>
        <w:pStyle w:val="a3"/>
        <w:spacing w:line="276" w:lineRule="auto"/>
        <w:ind w:right="14"/>
      </w:pPr>
      <w:r>
        <w:t>Звернення, оформлене без дотримання зазначених вимог, повертається споживачу з відповідними роз’ясненнями не пізніш як через десять днів від дня його надходження.</w:t>
      </w:r>
    </w:p>
    <w:p w:rsidR="000C0E40" w:rsidRDefault="00964FEF">
      <w:pPr>
        <w:pStyle w:val="a3"/>
        <w:spacing w:line="276" w:lineRule="auto"/>
        <w:ind w:right="16"/>
      </w:pPr>
      <w:r>
        <w:t>Товариством розглядаються звернення/скарги/претензії, в тому числі з темати</w:t>
      </w:r>
      <w:r>
        <w:t xml:space="preserve">ки, яка не відображені в </w:t>
      </w:r>
      <w:proofErr w:type="spellStart"/>
      <w:r>
        <w:t>пп</w:t>
      </w:r>
      <w:proofErr w:type="spellEnd"/>
      <w:r>
        <w:t>. 6-8 даної Процедури якомога швидше, при цьому</w:t>
      </w:r>
      <w:r>
        <w:rPr>
          <w:spacing w:val="-5"/>
        </w:rPr>
        <w:t xml:space="preserve"> </w:t>
      </w:r>
      <w:r>
        <w:t>строк</w:t>
      </w:r>
      <w:r>
        <w:rPr>
          <w:spacing w:val="-5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має перевищувати 30 днів з дати отримання звернення/скарги/претензії, якщо менший строк розгляду не встановлено чинним законодавством.</w:t>
      </w:r>
    </w:p>
    <w:p w:rsidR="000C0E40" w:rsidRDefault="00964FEF">
      <w:pPr>
        <w:pStyle w:val="a3"/>
        <w:spacing w:line="276" w:lineRule="auto"/>
        <w:ind w:right="23"/>
      </w:pPr>
      <w:r>
        <w:t>У разі отримання Товариством</w:t>
      </w:r>
      <w:r>
        <w:t xml:space="preserve"> звернення/скарги/претензії споживача з питань, що не належать до його компетенції, він надсилає таке звернення/скаргу/претензію за належністю відповідному</w:t>
      </w:r>
      <w:r>
        <w:rPr>
          <w:spacing w:val="-11"/>
        </w:rPr>
        <w:t xml:space="preserve"> </w:t>
      </w:r>
      <w:r>
        <w:t>учаснику</w:t>
      </w:r>
      <w:r>
        <w:rPr>
          <w:spacing w:val="-11"/>
        </w:rPr>
        <w:t xml:space="preserve"> </w:t>
      </w:r>
      <w:r>
        <w:t>роздрібного</w:t>
      </w:r>
      <w:r>
        <w:rPr>
          <w:spacing w:val="-11"/>
        </w:rPr>
        <w:t xml:space="preserve"> </w:t>
      </w:r>
      <w:r>
        <w:t>ринку</w:t>
      </w:r>
      <w:r>
        <w:rPr>
          <w:spacing w:val="-11"/>
        </w:rPr>
        <w:t xml:space="preserve"> </w:t>
      </w:r>
      <w:r>
        <w:t>відповідно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компетенції</w:t>
      </w:r>
      <w:r>
        <w:rPr>
          <w:spacing w:val="-11"/>
        </w:rPr>
        <w:t xml:space="preserve"> </w:t>
      </w:r>
      <w:r>
        <w:t>протягом не більше 5 робочих днів, про що в цей</w:t>
      </w:r>
      <w:r>
        <w:t xml:space="preserve"> же строк повідомляє споживачу.</w:t>
      </w:r>
    </w:p>
    <w:sectPr w:rsidR="000C0E40">
      <w:pgSz w:w="11920" w:h="16840"/>
      <w:pgMar w:top="106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81ED3"/>
    <w:multiLevelType w:val="hybridMultilevel"/>
    <w:tmpl w:val="688C321E"/>
    <w:lvl w:ilvl="0" w:tplc="F114318E">
      <w:numFmt w:val="bullet"/>
      <w:lvlText w:val="–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6039E6">
      <w:numFmt w:val="bullet"/>
      <w:lvlText w:val="•"/>
      <w:lvlJc w:val="left"/>
      <w:pPr>
        <w:ind w:left="937" w:hanging="240"/>
      </w:pPr>
      <w:rPr>
        <w:rFonts w:hint="default"/>
        <w:lang w:val="uk-UA" w:eastAsia="en-US" w:bidi="ar-SA"/>
      </w:rPr>
    </w:lvl>
    <w:lvl w:ilvl="2" w:tplc="826E4552">
      <w:numFmt w:val="bullet"/>
      <w:lvlText w:val="•"/>
      <w:lvlJc w:val="left"/>
      <w:pPr>
        <w:ind w:left="1874" w:hanging="240"/>
      </w:pPr>
      <w:rPr>
        <w:rFonts w:hint="default"/>
        <w:lang w:val="uk-UA" w:eastAsia="en-US" w:bidi="ar-SA"/>
      </w:rPr>
    </w:lvl>
    <w:lvl w:ilvl="3" w:tplc="EF64948A">
      <w:numFmt w:val="bullet"/>
      <w:lvlText w:val="•"/>
      <w:lvlJc w:val="left"/>
      <w:pPr>
        <w:ind w:left="2811" w:hanging="240"/>
      </w:pPr>
      <w:rPr>
        <w:rFonts w:hint="default"/>
        <w:lang w:val="uk-UA" w:eastAsia="en-US" w:bidi="ar-SA"/>
      </w:rPr>
    </w:lvl>
    <w:lvl w:ilvl="4" w:tplc="E216F4AE">
      <w:numFmt w:val="bullet"/>
      <w:lvlText w:val="•"/>
      <w:lvlJc w:val="left"/>
      <w:pPr>
        <w:ind w:left="3748" w:hanging="240"/>
      </w:pPr>
      <w:rPr>
        <w:rFonts w:hint="default"/>
        <w:lang w:val="uk-UA" w:eastAsia="en-US" w:bidi="ar-SA"/>
      </w:rPr>
    </w:lvl>
    <w:lvl w:ilvl="5" w:tplc="43988CD2">
      <w:numFmt w:val="bullet"/>
      <w:lvlText w:val="•"/>
      <w:lvlJc w:val="left"/>
      <w:pPr>
        <w:ind w:left="4685" w:hanging="240"/>
      </w:pPr>
      <w:rPr>
        <w:rFonts w:hint="default"/>
        <w:lang w:val="uk-UA" w:eastAsia="en-US" w:bidi="ar-SA"/>
      </w:rPr>
    </w:lvl>
    <w:lvl w:ilvl="6" w:tplc="F99C68CE">
      <w:numFmt w:val="bullet"/>
      <w:lvlText w:val="•"/>
      <w:lvlJc w:val="left"/>
      <w:pPr>
        <w:ind w:left="5622" w:hanging="240"/>
      </w:pPr>
      <w:rPr>
        <w:rFonts w:hint="default"/>
        <w:lang w:val="uk-UA" w:eastAsia="en-US" w:bidi="ar-SA"/>
      </w:rPr>
    </w:lvl>
    <w:lvl w:ilvl="7" w:tplc="467A0642">
      <w:numFmt w:val="bullet"/>
      <w:lvlText w:val="•"/>
      <w:lvlJc w:val="left"/>
      <w:pPr>
        <w:ind w:left="6559" w:hanging="240"/>
      </w:pPr>
      <w:rPr>
        <w:rFonts w:hint="default"/>
        <w:lang w:val="uk-UA" w:eastAsia="en-US" w:bidi="ar-SA"/>
      </w:rPr>
    </w:lvl>
    <w:lvl w:ilvl="8" w:tplc="5FEE906C">
      <w:numFmt w:val="bullet"/>
      <w:lvlText w:val="•"/>
      <w:lvlJc w:val="left"/>
      <w:pPr>
        <w:ind w:left="7496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7337489E"/>
    <w:multiLevelType w:val="hybridMultilevel"/>
    <w:tmpl w:val="5486156A"/>
    <w:lvl w:ilvl="0" w:tplc="F6747478">
      <w:start w:val="1"/>
      <w:numFmt w:val="decimal"/>
      <w:lvlText w:val="%1."/>
      <w:lvlJc w:val="left"/>
      <w:pPr>
        <w:ind w:left="41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3EE602">
      <w:numFmt w:val="bullet"/>
      <w:lvlText w:val="•"/>
      <w:lvlJc w:val="left"/>
      <w:pPr>
        <w:ind w:left="4645" w:hanging="240"/>
      </w:pPr>
      <w:rPr>
        <w:rFonts w:hint="default"/>
        <w:lang w:val="uk-UA" w:eastAsia="en-US" w:bidi="ar-SA"/>
      </w:rPr>
    </w:lvl>
    <w:lvl w:ilvl="2" w:tplc="8BEEA4EC">
      <w:numFmt w:val="bullet"/>
      <w:lvlText w:val="•"/>
      <w:lvlJc w:val="left"/>
      <w:pPr>
        <w:ind w:left="5170" w:hanging="240"/>
      </w:pPr>
      <w:rPr>
        <w:rFonts w:hint="default"/>
        <w:lang w:val="uk-UA" w:eastAsia="en-US" w:bidi="ar-SA"/>
      </w:rPr>
    </w:lvl>
    <w:lvl w:ilvl="3" w:tplc="8B26C634">
      <w:numFmt w:val="bullet"/>
      <w:lvlText w:val="•"/>
      <w:lvlJc w:val="left"/>
      <w:pPr>
        <w:ind w:left="5695" w:hanging="240"/>
      </w:pPr>
      <w:rPr>
        <w:rFonts w:hint="default"/>
        <w:lang w:val="uk-UA" w:eastAsia="en-US" w:bidi="ar-SA"/>
      </w:rPr>
    </w:lvl>
    <w:lvl w:ilvl="4" w:tplc="616ABD04">
      <w:numFmt w:val="bullet"/>
      <w:lvlText w:val="•"/>
      <w:lvlJc w:val="left"/>
      <w:pPr>
        <w:ind w:left="6220" w:hanging="240"/>
      </w:pPr>
      <w:rPr>
        <w:rFonts w:hint="default"/>
        <w:lang w:val="uk-UA" w:eastAsia="en-US" w:bidi="ar-SA"/>
      </w:rPr>
    </w:lvl>
    <w:lvl w:ilvl="5" w:tplc="C40EEDD8">
      <w:numFmt w:val="bullet"/>
      <w:lvlText w:val="•"/>
      <w:lvlJc w:val="left"/>
      <w:pPr>
        <w:ind w:left="6745" w:hanging="240"/>
      </w:pPr>
      <w:rPr>
        <w:rFonts w:hint="default"/>
        <w:lang w:val="uk-UA" w:eastAsia="en-US" w:bidi="ar-SA"/>
      </w:rPr>
    </w:lvl>
    <w:lvl w:ilvl="6" w:tplc="25FE0CFA">
      <w:numFmt w:val="bullet"/>
      <w:lvlText w:val="•"/>
      <w:lvlJc w:val="left"/>
      <w:pPr>
        <w:ind w:left="7270" w:hanging="240"/>
      </w:pPr>
      <w:rPr>
        <w:rFonts w:hint="default"/>
        <w:lang w:val="uk-UA" w:eastAsia="en-US" w:bidi="ar-SA"/>
      </w:rPr>
    </w:lvl>
    <w:lvl w:ilvl="7" w:tplc="218C4724">
      <w:numFmt w:val="bullet"/>
      <w:lvlText w:val="•"/>
      <w:lvlJc w:val="left"/>
      <w:pPr>
        <w:ind w:left="7795" w:hanging="240"/>
      </w:pPr>
      <w:rPr>
        <w:rFonts w:hint="default"/>
        <w:lang w:val="uk-UA" w:eastAsia="en-US" w:bidi="ar-SA"/>
      </w:rPr>
    </w:lvl>
    <w:lvl w:ilvl="8" w:tplc="7FD0C9F4">
      <w:numFmt w:val="bullet"/>
      <w:lvlText w:val="•"/>
      <w:lvlJc w:val="left"/>
      <w:pPr>
        <w:ind w:left="8320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0E40"/>
    <w:rsid w:val="000C0E40"/>
    <w:rsid w:val="009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5CD2"/>
  <w15:docId w15:val="{B085F8FD-3651-4A02-B930-78B1731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hanging="2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5287</Words>
  <Characters>3015</Characters>
  <Application>Microsoft Office Word</Application>
  <DocSecurity>0</DocSecurity>
  <Lines>25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розгляду звернень.docx</dc:title>
  <cp:lastModifiedBy>Max</cp:lastModifiedBy>
  <cp:revision>2</cp:revision>
  <dcterms:created xsi:type="dcterms:W3CDTF">2025-05-07T10:54:00Z</dcterms:created>
  <dcterms:modified xsi:type="dcterms:W3CDTF">2025-05-07T11:01:00Z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2025-05-07T00:00:00Z</vt:filetime>
  </property>
</Properties>
</file>